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3a6168"/>
          <w:sz w:val="40"/>
          <w:szCs w:val="40"/>
          <w:rtl w:val="0"/>
        </w:rPr>
        <w:t xml:space="preserve">Material de estudio</w:t>
      </w: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862" w:right="0" w:firstLine="0"/>
        <w:jc w:val="center"/>
        <w:rPr>
          <w:rFonts w:ascii="Verdana" w:cs="Verdana" w:eastAsia="Verdana" w:hAnsi="Verdana"/>
          <w:color w:val="3a6168"/>
          <w:sz w:val="26"/>
          <w:szCs w:val="26"/>
        </w:rPr>
      </w:pPr>
      <w:r w:rsidDel="00000000" w:rsidR="00000000" w:rsidRPr="00000000">
        <w:rPr>
          <w:rFonts w:ascii="Verdana" w:cs="Verdana" w:eastAsia="Verdana" w:hAnsi="Verdana"/>
          <w:b w:val="0"/>
          <w:bCs w:val="0"/>
          <w:i w:val="0"/>
          <w:iCs w:val="0"/>
          <w:smallCaps w:val="0"/>
          <w:strike w:val="0"/>
          <w:color w:val="3a6168"/>
          <w:sz w:val="40"/>
          <w:szCs w:val="4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6"/>
          <w:szCs w:val="26"/>
          <w:rtl w:val="0"/>
        </w:rPr>
        <w:t xml:space="preserve">La política de cohesión europea: reducir desigualdades y mejorar territorios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trbqf695ytfb" w:id="0"/>
      <w:bookmarkEnd w:id="0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1. ¿Qué es la política de cohesión?</w:t>
      </w:r>
    </w:p>
    <w:p w:rsidR="00000000" w:rsidDel="00000000" w:rsidP="00000000" w:rsidRDefault="00000000" w:rsidRPr="00000000" w14:paraId="00000005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política de cohesión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de 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Unión Europea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es el conjunto de actuaciones destinadas 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reducir las diferencias económicas, sociales y territoriales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entre las regiones europeas.</w:t>
      </w:r>
    </w:p>
    <w:p w:rsidR="00000000" w:rsidDel="00000000" w:rsidP="00000000" w:rsidRDefault="00000000" w:rsidRPr="00000000" w14:paraId="00000006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Su finalidad es que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el lugar donde vives no determine tus oportunidades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de acceso al empleo, la formación, los servicios públicos o las infraestructuras.</w:t>
      </w:r>
    </w:p>
    <w:p w:rsidR="00000000" w:rsidDel="00000000" w:rsidP="00000000" w:rsidRDefault="00000000" w:rsidRPr="00000000" w14:paraId="00000007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tr7g8qpnbbmz" w:id="1"/>
      <w:bookmarkEnd w:id="1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2. ¿Por qué es necesaria?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Las regiones europeas parten de situaciones muy distintas: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diferencias de renta y empleo,</w:t>
        <w:br w:type="textWrapping"/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acceso desigual a servicios,</w:t>
        <w:br w:type="textWrapping"/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necesidades específicas en zonas rurales o urbanas,</w:t>
        <w:br w:type="textWrapping"/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impacto desigual de crisis económicas o demográficas.</w:t>
        <w:br w:type="textWrapping"/>
      </w:r>
    </w:p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política de cohesión actúa para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compensar estas diferencias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apoyando especialmente a las regiones que más lo necesitan.</w:t>
      </w:r>
    </w:p>
    <w:p w:rsidR="00000000" w:rsidDel="00000000" w:rsidP="00000000" w:rsidRDefault="00000000" w:rsidRPr="00000000" w14:paraId="0000000F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cp7ay6gc2hlx" w:id="2"/>
      <w:bookmarkEnd w:id="2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3. ¿Cómo actúa la política de cohesión?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política de cohesión se concreta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proyectos reales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financiados con fondos europeos que apoyan, entre otros ámbitos: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creación de empleo,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mejora de la formación profesional,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modernización de servicios públicos,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rehabilitación urbana y rural,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innovación y digitalización,</w:t>
        <w:br w:type="textWrapping"/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sostenibilidad ambiental.</w:t>
        <w:br w:type="textWrapping"/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Estos proyectos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no se diseñan al azar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: responden a prioridades europeas y a necesidades detectadas en cada territorio.</w:t>
      </w:r>
    </w:p>
    <w:p w:rsidR="00000000" w:rsidDel="00000000" w:rsidP="00000000" w:rsidRDefault="00000000" w:rsidRPr="00000000" w14:paraId="00000019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eby7f7ubkqw" w:id="3"/>
      <w:bookmarkEnd w:id="3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4. Europa en el territorio cercano</w:t>
      </w:r>
    </w:p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rFonts w:ascii="Verdana" w:cs="Verdana" w:eastAsia="Verdana" w:hAnsi="Verdana"/>
          <w:color w:val="3a6168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a6168"/>
          <w:sz w:val="20"/>
          <w:szCs w:val="20"/>
          <w:rtl w:val="0"/>
        </w:rPr>
        <w:t xml:space="preserve">La política de cohesión se hace visible en: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a6168"/>
          <w:sz w:val="20"/>
          <w:szCs w:val="20"/>
          <w:rtl w:val="0"/>
        </w:rPr>
        <w:t xml:space="preserve">centros de salud o educativos mejorados,</w:t>
        <w:br w:type="textWrapping"/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a6168"/>
          <w:sz w:val="20"/>
          <w:szCs w:val="20"/>
          <w:rtl w:val="0"/>
        </w:rPr>
        <w:t xml:space="preserve">cursos de formación para el empleo,</w:t>
        <w:br w:type="textWrapping"/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a6168"/>
          <w:sz w:val="20"/>
          <w:szCs w:val="20"/>
          <w:rtl w:val="0"/>
        </w:rPr>
        <w:t xml:space="preserve">programas de inserción laboral,</w:t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a6168"/>
          <w:sz w:val="20"/>
          <w:szCs w:val="20"/>
          <w:rtl w:val="0"/>
        </w:rPr>
        <w:t xml:space="preserve">mejora de espacios públicos,</w:t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a6168"/>
          <w:sz w:val="20"/>
          <w:szCs w:val="20"/>
          <w:rtl w:val="0"/>
        </w:rPr>
        <w:t xml:space="preserve">apoyo a empresas locales.</w:t>
        <w:br w:type="textWrapping"/>
      </w:r>
    </w:p>
    <w:p w:rsidR="00000000" w:rsidDel="00000000" w:rsidP="00000000" w:rsidRDefault="00000000" w:rsidRPr="00000000" w14:paraId="00000021">
      <w:pPr>
        <w:spacing w:after="240" w:before="240" w:lineRule="auto"/>
        <w:jc w:val="both"/>
        <w:rPr>
          <w:rFonts w:ascii="Verdana" w:cs="Verdana" w:eastAsia="Verdana" w:hAnsi="Verdana"/>
          <w:color w:val="3a6168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color w:val="3a6168"/>
          <w:sz w:val="20"/>
          <w:szCs w:val="20"/>
          <w:rtl w:val="0"/>
        </w:rPr>
        <w:t xml:space="preserve">Por eso, muchas actuaciones en municipios y barrios incluyen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sz w:val="20"/>
          <w:szCs w:val="20"/>
          <w:rtl w:val="0"/>
        </w:rPr>
        <w:t xml:space="preserve">símbolos o carteles europeos</w:t>
      </w:r>
      <w:r w:rsidDel="00000000" w:rsidR="00000000" w:rsidRPr="00000000">
        <w:rPr>
          <w:rFonts w:ascii="Verdana" w:cs="Verdana" w:eastAsia="Verdana" w:hAnsi="Verdana"/>
          <w:color w:val="3a6168"/>
          <w:sz w:val="20"/>
          <w:szCs w:val="20"/>
          <w:rtl w:val="0"/>
        </w:rPr>
        <w:t xml:space="preserve"> que informan de su financiación.</w:t>
      </w:r>
    </w:p>
    <w:p w:rsidR="00000000" w:rsidDel="00000000" w:rsidP="00000000" w:rsidRDefault="00000000" w:rsidRPr="00000000" w14:paraId="00000022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xo8k84esleqf" w:id="4"/>
      <w:bookmarkEnd w:id="4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5. ¿Quién gestiona estos proyectos?</w:t>
      </w:r>
    </w:p>
    <w:p w:rsidR="00000000" w:rsidDel="00000000" w:rsidP="00000000" w:rsidRDefault="00000000" w:rsidRPr="00000000" w14:paraId="00000024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Aunque los fondos son europeos, la gestión suele realizarse a través de: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administraciones autonómicas,</w:t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ayuntamientos,</w:t>
        <w:br w:type="textWrapping"/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servicios públicos de empleo,</w:t>
        <w:br w:type="textWrapping"/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entidades sociales o educativas.</w:t>
        <w:br w:type="textWrapping"/>
      </w:r>
    </w:p>
    <w:p w:rsidR="00000000" w:rsidDel="00000000" w:rsidP="00000000" w:rsidRDefault="00000000" w:rsidRPr="00000000" w14:paraId="00000029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Esto explica por qué una inversión europea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se tramita y ejecuta desde instituciones cercanas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 aunque responda a políticas comunes.</w:t>
      </w:r>
    </w:p>
    <w:p w:rsidR="00000000" w:rsidDel="00000000" w:rsidP="00000000" w:rsidRDefault="00000000" w:rsidRPr="00000000" w14:paraId="0000002A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mffbxsr82orl" w:id="5"/>
      <w:bookmarkEnd w:id="5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6. Política de cohesión y ciudadanía</w:t>
      </w:r>
    </w:p>
    <w:p w:rsidR="00000000" w:rsidDel="00000000" w:rsidP="00000000" w:rsidRDefault="00000000" w:rsidRPr="00000000" w14:paraId="0000002C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política de cohesión no solo tiene un impacto económico, también: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refuerza 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igualdad de oportunidades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</w:t>
        <w:br w:type="textWrapping"/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promueve 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solidaridad entre regiones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</w:t>
        <w:br w:type="textWrapping"/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contribuye a la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cohesión social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,</w:t>
        <w:br w:type="textWrapping"/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acerca Europa a la vida cotidiana.</w:t>
        <w:br w:type="textWrapping"/>
      </w:r>
    </w:p>
    <w:p w:rsidR="00000000" w:rsidDel="00000000" w:rsidP="00000000" w:rsidRDefault="00000000" w:rsidRPr="00000000" w14:paraId="00000031">
      <w:pPr>
        <w:spacing w:after="240" w:before="240" w:lineRule="auto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Comprender esta política ayuda 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interpretar el sentido de las inversiones públicas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 y a valorar su utilidad real.</w:t>
      </w:r>
    </w:p>
    <w:p w:rsidR="00000000" w:rsidDel="00000000" w:rsidP="00000000" w:rsidRDefault="00000000" w:rsidRPr="00000000" w14:paraId="00000032">
      <w:pPr>
        <w:spacing w:after="240" w:lineRule="auto"/>
        <w:ind w:left="720" w:hanging="36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after="80" w:before="280" w:lineRule="auto"/>
        <w:ind w:left="720" w:hanging="360"/>
        <w:rPr>
          <w:rFonts w:ascii="Verdana" w:cs="Verdana" w:eastAsia="Verdana" w:hAnsi="Verdana"/>
          <w:color w:val="3a6168"/>
          <w:sz w:val="26"/>
          <w:szCs w:val="26"/>
        </w:rPr>
      </w:pPr>
      <w:bookmarkStart w:colFirst="0" w:colLast="0" w:name="_heading=h.4i301nzc7j33" w:id="6"/>
      <w:bookmarkEnd w:id="6"/>
      <w:r w:rsidDel="00000000" w:rsidR="00000000" w:rsidRPr="00000000">
        <w:rPr>
          <w:rFonts w:ascii="Verdana" w:cs="Verdana" w:eastAsia="Verdana" w:hAnsi="Verdana"/>
          <w:color w:val="3a6168"/>
          <w:sz w:val="26"/>
          <w:szCs w:val="26"/>
          <w:rtl w:val="0"/>
        </w:rPr>
        <w:t xml:space="preserve">7. Ideas clave para recordar</w:t>
      </w:r>
    </w:p>
    <w:p w:rsidR="00000000" w:rsidDel="00000000" w:rsidP="00000000" w:rsidRDefault="00000000" w:rsidRPr="00000000" w14:paraId="00000034">
      <w:pPr>
        <w:numPr>
          <w:ilvl w:val="0"/>
          <w:numId w:val="4"/>
        </w:numPr>
        <w:spacing w:after="0" w:afterAutospacing="0" w:before="24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La política de cohesión busca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equilibrar oportunidades entre territorios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35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Se concreta en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proyectos visibles y cercanos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  <w:br w:type="textWrapping"/>
      </w:r>
    </w:p>
    <w:p w:rsidR="00000000" w:rsidDel="00000000" w:rsidP="00000000" w:rsidRDefault="00000000" w:rsidRPr="00000000" w14:paraId="00000036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Los fondos europeos se gestionan desde administraciones próximas.</w:t>
        <w:br w:type="textWrapping"/>
      </w:r>
    </w:p>
    <w:p w:rsidR="00000000" w:rsidDel="00000000" w:rsidP="00000000" w:rsidRDefault="00000000" w:rsidRPr="00000000" w14:paraId="00000037">
      <w:pPr>
        <w:numPr>
          <w:ilvl w:val="0"/>
          <w:numId w:val="4"/>
        </w:numPr>
        <w:spacing w:after="240" w:before="0" w:beforeAutospacing="0" w:lineRule="auto"/>
        <w:ind w:left="720" w:hanging="360"/>
        <w:jc w:val="both"/>
        <w:rPr>
          <w:rFonts w:ascii="Verdana" w:cs="Verdana" w:eastAsia="Verdana" w:hAnsi="Verdana"/>
          <w:color w:val="3a6168"/>
        </w:rPr>
      </w:pP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Europa también actúa </w:t>
      </w:r>
      <w:r w:rsidDel="00000000" w:rsidR="00000000" w:rsidRPr="00000000">
        <w:rPr>
          <w:rFonts w:ascii="Verdana" w:cs="Verdana" w:eastAsia="Verdana" w:hAnsi="Verdana"/>
          <w:b w:val="1"/>
          <w:bCs w:val="1"/>
          <w:color w:val="3a6168"/>
          <w:rtl w:val="0"/>
        </w:rPr>
        <w:t xml:space="preserve">a escala local</w:t>
      </w:r>
      <w:r w:rsidDel="00000000" w:rsidR="00000000" w:rsidRPr="00000000">
        <w:rPr>
          <w:rFonts w:ascii="Verdana" w:cs="Verdana" w:eastAsia="Verdana" w:hAnsi="Verdana"/>
          <w:color w:val="3a6168"/>
          <w:rtl w:val="0"/>
        </w:rPr>
        <w:t xml:space="preserve">.</w:t>
      </w:r>
    </w:p>
    <w:p w:rsidR="00000000" w:rsidDel="00000000" w:rsidP="00000000" w:rsidRDefault="00000000" w:rsidRPr="00000000" w14:paraId="00000038">
      <w:pPr>
        <w:spacing w:after="240" w:before="0" w:lineRule="auto"/>
        <w:ind w:left="720" w:firstLine="0"/>
        <w:rPr>
          <w:rFonts w:ascii="Verdana" w:cs="Verdana" w:eastAsia="Verdana" w:hAnsi="Verdana"/>
          <w:color w:val="3a6168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426" w:right="0" w:firstLine="0"/>
        <w:jc w:val="both"/>
        <w:rPr>
          <w:rFonts w:ascii="Verdana" w:cs="Verdana" w:eastAsia="Verdana" w:hAnsi="Verdana"/>
          <w:b w:val="1"/>
          <w:bCs w:val="1"/>
          <w:color w:val="3a6168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083" w:left="1440" w:right="616" w:header="426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Verdana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-966778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18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-966778</wp:posOffset>
              </wp:positionH>
              <wp:positionV relativeFrom="paragraph">
                <wp:posOffset>17463</wp:posOffset>
              </wp:positionV>
              <wp:extent cx="0" cy="28575"/>
              <wp:effectExtent b="0" l="0" r="0" t="0"/>
              <wp:wrapNone/>
              <wp:docPr id="118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b="0" l="0" r="0" t="0"/>
          <wp:wrapNone/>
          <wp:docPr id="12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/>
                  <a:ln/>
                </pic:spPr>
              </pic:pic>
            </a:graphicData>
          </a:graphic>
        </wp:anchor>
      </w:drawing>
    </w:r>
  </w:p>
  <w:tbl>
    <w:tblPr>
      <w:tblStyle w:val="Table2"/>
      <w:tblW w:w="10230.0" w:type="dxa"/>
      <w:jc w:val="left"/>
      <w:tblInd w:w="-743.0" w:type="dxa"/>
      <w:tblLayout w:type="fixed"/>
      <w:tblLook w:val="0400"/>
    </w:tblPr>
    <w:tblGrid>
      <w:gridCol w:w="4253"/>
      <w:gridCol w:w="2897"/>
      <w:gridCol w:w="3080"/>
      <w:tblGridChange w:id="0">
        <w:tblGrid>
          <w:gridCol w:w="4253"/>
          <w:gridCol w:w="2897"/>
          <w:gridCol w:w="3080"/>
        </w:tblGrid>
      </w:tblGridChange>
    </w:tblGrid>
    <w:tr>
      <w:trPr>
        <w:cantSplit w:val="0"/>
        <w:tblHeader w:val="0"/>
      </w:trPr>
      <w:tc>
        <w:tcPr/>
        <w:p w:rsidR="00000000" w:rsidDel="00000000" w:rsidP="00000000" w:rsidRDefault="00000000" w:rsidRPr="00000000" w14:paraId="00000041">
          <w:pPr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Servicio de Educación Permanente. CARM  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2">
          <w:pPr>
            <w:rPr/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43">
          <w:pPr>
            <w:jc w:val="right"/>
            <w:rPr/>
          </w:pP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Verdana" w:cs="Verdana" w:eastAsia="Verdana" w:hAnsi="Verdana"/>
              <w:color w:val="3a6168"/>
              <w:sz w:val="18"/>
              <w:szCs w:val="18"/>
              <w:rtl w:val="0"/>
            </w:rPr>
            <w:t xml:space="preserve"> 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-3238496</wp:posOffset>
          </wp:positionH>
          <wp:positionV relativeFrom="paragraph">
            <wp:posOffset>20867121</wp:posOffset>
          </wp:positionV>
          <wp:extent cx="8686800" cy="11241741"/>
          <wp:effectExtent b="0" l="0" r="0" t="0"/>
          <wp:wrapNone/>
          <wp:docPr id="12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1418" w:right="0" w:firstLine="0"/>
      <w:jc w:val="center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-966778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1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-966778</wp:posOffset>
              </wp:positionH>
              <wp:positionV relativeFrom="paragraph">
                <wp:posOffset>801053</wp:posOffset>
              </wp:positionV>
              <wp:extent cx="0" cy="28575"/>
              <wp:effectExtent b="0" l="0" r="0" t="0"/>
              <wp:wrapNone/>
              <wp:docPr id="11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-985828</wp:posOffset>
              </wp:positionH>
              <wp:positionV relativeFrom="paragraph">
                <wp:posOffset>-1199191</wp:posOffset>
              </wp:positionV>
              <wp:extent cx="0" cy="28575"/>
              <wp:effectExtent b="0" l="0" r="0" t="0"/>
              <wp:wrapNone/>
              <wp:docPr id="11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483613" y="3780000"/>
                        <a:ext cx="7724775" cy="0"/>
                      </a:xfrm>
                      <a:prstGeom prst="straightConnector1">
                        <a:avLst/>
                      </a:prstGeom>
                      <a:noFill/>
                      <a:ln cap="flat" cmpd="sng" w="28575">
                        <a:solidFill>
                          <a:srgbClr val="D8D8D8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-985828</wp:posOffset>
              </wp:positionH>
              <wp:positionV relativeFrom="paragraph">
                <wp:posOffset>-1199191</wp:posOffset>
              </wp:positionV>
              <wp:extent cx="0" cy="28575"/>
              <wp:effectExtent b="0" l="0" r="0" t="0"/>
              <wp:wrapNone/>
              <wp:docPr id="11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28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Table1"/>
      <w:tblW w:w="11060.0" w:type="dxa"/>
      <w:jc w:val="left"/>
      <w:tblInd w:w="-885.0" w:type="dxa"/>
      <w:tblBorders>
        <w:bottom w:color="000000" w:space="0" w:sz="12" w:val="single"/>
      </w:tblBorders>
      <w:tblLayout w:type="fixed"/>
      <w:tblLook w:val="0400"/>
    </w:tblPr>
    <w:tblGrid>
      <w:gridCol w:w="5955"/>
      <w:gridCol w:w="5105"/>
      <w:tblGridChange w:id="0">
        <w:tblGrid>
          <w:gridCol w:w="5955"/>
          <w:gridCol w:w="5105"/>
        </w:tblGrid>
      </w:tblGridChange>
    </w:tblGrid>
    <w:tr>
      <w:trPr>
        <w:cantSplit w:val="0"/>
        <w:trHeight w:val="585" w:hRule="atLeast"/>
        <w:tblHeader w:val="0"/>
      </w:trPr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B">
          <w:pPr>
            <w:ind w:right="318"/>
            <w:rPr>
              <w:b w:val="1"/>
              <w:bCs w:val="1"/>
            </w:rPr>
          </w:pPr>
          <w:r w:rsidDel="00000000" w:rsidR="00000000" w:rsidRPr="00000000">
            <w:rPr>
              <w:rFonts w:ascii="Verdana" w:cs="Verdana" w:eastAsia="Verdana" w:hAnsi="Verdana"/>
              <w:b w:val="1"/>
              <w:bCs w:val="1"/>
              <w:color w:val="3a6168"/>
              <w:rtl w:val="0"/>
            </w:rPr>
            <w:t xml:space="preserve">REA: Europa en tu bolsillo: Manual de instrucciones para el ciudadano de hoy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bottom w:color="000000" w:space="0" w:sz="0" w:val="nil"/>
          </w:tcBorders>
        </w:tcPr>
        <w:p w:rsidR="00000000" w:rsidDel="00000000" w:rsidP="00000000" w:rsidRDefault="00000000" w:rsidRPr="00000000" w14:paraId="0000003C">
          <w:pPr>
            <w:jc w:val="right"/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447676</wp:posOffset>
                </wp:positionH>
                <wp:positionV relativeFrom="paragraph">
                  <wp:posOffset>-28568</wp:posOffset>
                </wp:positionV>
                <wp:extent cx="2511840" cy="401895"/>
                <wp:effectExtent b="0" l="0" r="0" t="0"/>
                <wp:wrapNone/>
                <wp:docPr id="11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000000" w:rsidDel="00000000" w:rsidP="00000000" w:rsidRDefault="00000000" w:rsidRPr="00000000" w14:paraId="0000003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6"/>
    </w:pPr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7"/>
    </w:pPr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FC693F"/>
    <w:pPr>
      <w:keepNext w:val="1"/>
      <w:keepLines w:val="1"/>
      <w:spacing w:after="0" w:before="200"/>
      <w:outlineLvl w:val="8"/>
    </w:pPr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 w:val="1"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 w:val="1"/>
    <w:rsid w:val="00FC693F"/>
    <w:pPr>
      <w:spacing w:after="0" w:line="240" w:lineRule="auto"/>
    </w:pPr>
  </w:style>
  <w:style w:type="character" w:styleId="Ttulo1Car" w:customStyle="1">
    <w:name w:val="Título 1 Car"/>
    <w:basedOn w:val="Fuentedeprrafopredeter"/>
    <w:link w:val="Ttulo1"/>
    <w:uiPriority w:val="9"/>
    <w:rsid w:val="00FC693F"/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  <w:sz w:val="26"/>
      <w:szCs w:val="26"/>
    </w:rPr>
  </w:style>
  <w:style w:type="character" w:styleId="Ttulo3Car" w:customStyle="1">
    <w:name w:val="Título 3 Car"/>
    <w:basedOn w:val="Fuentedeprrafopredeter"/>
    <w:link w:val="Ttulo3"/>
    <w:uiPriority w:val="9"/>
    <w:rsid w:val="00FC693F"/>
    <w:rPr>
      <w:rFonts w:asciiTheme="majorHAnsi" w:cstheme="majorBidi" w:eastAsiaTheme="majorEastAsia" w:hAnsiTheme="majorHAnsi"/>
      <w:b w:val="1"/>
      <w:bCs w:val="1"/>
      <w:color w:val="4f81bd" w:themeColor="accent1"/>
    </w:rPr>
  </w:style>
  <w:style w:type="character" w:styleId="PuestoCar" w:customStyle="1">
    <w:name w:val="Puesto Car"/>
    <w:basedOn w:val="Fuentedeprrafopredeter"/>
    <w:link w:val="Puesto"/>
    <w:uiPriority w:val="10"/>
    <w:rsid w:val="00FC693F"/>
    <w:rPr>
      <w:rFonts w:asciiTheme="majorHAnsi" w:cstheme="majorBidi" w:eastAsiaTheme="majorEastAsia" w:hAnsiTheme="majorHAnsi"/>
      <w:color w:val="17365d" w:themeColor="text2" w:themeShade="0000BF"/>
      <w:spacing w:val="5"/>
      <w:kern w:val="28"/>
      <w:sz w:val="52"/>
      <w:szCs w:val="52"/>
    </w:rPr>
  </w:style>
  <w:style w:type="character" w:styleId="SubttuloCar" w:customStyle="1">
    <w:name w:val="Subtítulo Car"/>
    <w:basedOn w:val="Fuentedeprrafopredeter"/>
    <w:link w:val="Subttulo"/>
    <w:uiPriority w:val="11"/>
    <w:rsid w:val="00FC693F"/>
    <w:rPr>
      <w:rFonts w:asciiTheme="majorHAnsi" w:cstheme="majorBidi" w:eastAsiaTheme="majorEastAsia" w:hAnsiTheme="majorHAnsi"/>
      <w:i w:val="1"/>
      <w:iCs w:val="1"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FC693F"/>
    <w:pPr>
      <w:ind w:left="720"/>
      <w:contextualSpacing w:val="1"/>
    </w:pPr>
  </w:style>
  <w:style w:type="paragraph" w:styleId="Textoindependiente">
    <w:name w:val="Body Text"/>
    <w:basedOn w:val="Normal"/>
    <w:link w:val="TextoindependienteCar"/>
    <w:uiPriority w:val="99"/>
    <w:unhideWhenUsed w:val="1"/>
    <w:rsid w:val="00AA1D8D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 w:val="1"/>
    <w:rsid w:val="00AA1D8D"/>
    <w:pPr>
      <w:spacing w:after="120" w:line="480" w:lineRule="auto"/>
    </w:p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 w:val="1"/>
    <w:rsid w:val="00AA1D8D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 w:val="1"/>
    <w:rsid w:val="00AA1D8D"/>
    <w:pPr>
      <w:ind w:left="360" w:hanging="360"/>
      <w:contextualSpacing w:val="1"/>
    </w:pPr>
  </w:style>
  <w:style w:type="paragraph" w:styleId="Lista2">
    <w:name w:val="List 2"/>
    <w:basedOn w:val="Normal"/>
    <w:uiPriority w:val="99"/>
    <w:unhideWhenUsed w:val="1"/>
    <w:rsid w:val="00326F90"/>
    <w:pPr>
      <w:ind w:left="720" w:hanging="360"/>
      <w:contextualSpacing w:val="1"/>
    </w:pPr>
  </w:style>
  <w:style w:type="paragraph" w:styleId="Lista3">
    <w:name w:val="List 3"/>
    <w:basedOn w:val="Normal"/>
    <w:uiPriority w:val="99"/>
    <w:unhideWhenUsed w:val="1"/>
    <w:rsid w:val="00326F90"/>
    <w:pPr>
      <w:ind w:left="1080" w:hanging="360"/>
      <w:contextualSpacing w:val="1"/>
    </w:pPr>
  </w:style>
  <w:style w:type="paragraph" w:styleId="Listaconvietas">
    <w:name w:val="List Bullet"/>
    <w:basedOn w:val="Normal"/>
    <w:uiPriority w:val="99"/>
    <w:unhideWhenUsed w:val="1"/>
    <w:rsid w:val="00326F90"/>
    <w:pPr>
      <w:numPr>
        <w:numId w:val="1"/>
      </w:numPr>
      <w:contextualSpacing w:val="1"/>
    </w:pPr>
  </w:style>
  <w:style w:type="paragraph" w:styleId="Listaconvietas2">
    <w:name w:val="List Bullet 2"/>
    <w:basedOn w:val="Normal"/>
    <w:uiPriority w:val="99"/>
    <w:unhideWhenUsed w:val="1"/>
    <w:rsid w:val="00326F90"/>
    <w:pPr>
      <w:numPr>
        <w:numId w:val="2"/>
      </w:numPr>
      <w:contextualSpacing w:val="1"/>
    </w:pPr>
  </w:style>
  <w:style w:type="paragraph" w:styleId="Listaconvietas3">
    <w:name w:val="List Bullet 3"/>
    <w:basedOn w:val="Normal"/>
    <w:uiPriority w:val="99"/>
    <w:unhideWhenUsed w:val="1"/>
    <w:rsid w:val="00326F90"/>
    <w:pPr>
      <w:numPr>
        <w:numId w:val="3"/>
      </w:numPr>
      <w:contextualSpacing w:val="1"/>
    </w:pPr>
  </w:style>
  <w:style w:type="paragraph" w:styleId="Listaconnmeros">
    <w:name w:val="List Number"/>
    <w:basedOn w:val="Normal"/>
    <w:uiPriority w:val="99"/>
    <w:unhideWhenUsed w:val="1"/>
    <w:rsid w:val="00326F90"/>
    <w:pPr>
      <w:numPr>
        <w:numId w:val="5"/>
      </w:numPr>
      <w:contextualSpacing w:val="1"/>
    </w:pPr>
  </w:style>
  <w:style w:type="paragraph" w:styleId="Listaconnmeros2">
    <w:name w:val="List Number 2"/>
    <w:basedOn w:val="Normal"/>
    <w:uiPriority w:val="99"/>
    <w:unhideWhenUsed w:val="1"/>
    <w:rsid w:val="0029639D"/>
    <w:pPr>
      <w:numPr>
        <w:numId w:val="6"/>
      </w:numPr>
      <w:contextualSpacing w:val="1"/>
    </w:pPr>
  </w:style>
  <w:style w:type="paragraph" w:styleId="Listaconnmeros3">
    <w:name w:val="List Number 3"/>
    <w:basedOn w:val="Normal"/>
    <w:uiPriority w:val="99"/>
    <w:unhideWhenUsed w:val="1"/>
    <w:rsid w:val="0029639D"/>
    <w:pPr>
      <w:numPr>
        <w:numId w:val="7"/>
      </w:numPr>
      <w:contextualSpacing w:val="1"/>
    </w:pPr>
  </w:style>
  <w:style w:type="paragraph" w:styleId="Continuarlista">
    <w:name w:val="List Continue"/>
    <w:basedOn w:val="Normal"/>
    <w:uiPriority w:val="99"/>
    <w:unhideWhenUsed w:val="1"/>
    <w:rsid w:val="0029639D"/>
    <w:pPr>
      <w:spacing w:after="120"/>
      <w:ind w:left="360"/>
      <w:contextualSpacing w:val="1"/>
    </w:pPr>
  </w:style>
  <w:style w:type="paragraph" w:styleId="Continuarlista2">
    <w:name w:val="List Continue 2"/>
    <w:basedOn w:val="Normal"/>
    <w:uiPriority w:val="99"/>
    <w:unhideWhenUsed w:val="1"/>
    <w:rsid w:val="0029639D"/>
    <w:pPr>
      <w:spacing w:after="120"/>
      <w:ind w:left="720"/>
      <w:contextualSpacing w:val="1"/>
    </w:pPr>
  </w:style>
  <w:style w:type="paragraph" w:styleId="Continuarlista3">
    <w:name w:val="List Continue 3"/>
    <w:basedOn w:val="Normal"/>
    <w:uiPriority w:val="99"/>
    <w:unhideWhenUsed w:val="1"/>
    <w:rsid w:val="0029639D"/>
    <w:pPr>
      <w:spacing w:after="120"/>
      <w:ind w:left="1080"/>
      <w:contextualSpacing w:val="1"/>
    </w:pPr>
  </w:style>
  <w:style w:type="paragraph" w:styleId="Textomacro">
    <w:name w:val="macro"/>
    <w:link w:val="TextomacroCar"/>
    <w:uiPriority w:val="99"/>
    <w:unhideWhenUsed w:val="1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 w:val="1"/>
    <w:rsid w:val="00FC693F"/>
    <w:rPr>
      <w:i w:val="1"/>
      <w:iCs w:val="1"/>
      <w:color w:val="000000" w:themeColor="text1"/>
    </w:rPr>
  </w:style>
  <w:style w:type="character" w:styleId="CitaCar" w:customStyle="1">
    <w:name w:val="Cita Car"/>
    <w:basedOn w:val="Fuentedeprrafopredeter"/>
    <w:link w:val="Cita"/>
    <w:uiPriority w:val="29"/>
    <w:rsid w:val="00FC693F"/>
    <w:rPr>
      <w:i w:val="1"/>
      <w:iCs w:val="1"/>
      <w:color w:val="000000" w:themeColor="text1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FC693F"/>
    <w:rPr>
      <w:rFonts w:asciiTheme="majorHAnsi" w:cstheme="majorBidi" w:eastAsiaTheme="majorEastAsia" w:hAnsiTheme="majorHAnsi"/>
      <w:b w:val="1"/>
      <w:bCs w:val="1"/>
      <w:i w:val="1"/>
      <w:iCs w:val="1"/>
      <w:color w:val="4f81bd" w:themeColor="accent1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FC693F"/>
    <w:rPr>
      <w:rFonts w:asciiTheme="majorHAnsi" w:cstheme="majorBidi" w:eastAsiaTheme="majorEastAsia" w:hAnsiTheme="majorHAnsi"/>
      <w:color w:val="243f60" w:themeColor="accent1" w:themeShade="00007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243f60" w:themeColor="accent1" w:themeShade="00007F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FC693F"/>
    <w:rPr>
      <w:rFonts w:asciiTheme="majorHAnsi" w:cstheme="majorBidi" w:eastAsiaTheme="majorEastAsia" w:hAnsiTheme="majorHAnsi"/>
      <w:color w:val="4f81bd" w:themeColor="accent1"/>
      <w:sz w:val="20"/>
      <w:szCs w:val="20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FC693F"/>
    <w:rPr>
      <w:rFonts w:asciiTheme="majorHAnsi" w:cstheme="majorBidi" w:eastAsiaTheme="majorEastAsia" w:hAnsiTheme="majorHAnsi"/>
      <w:i w:val="1"/>
      <w:iCs w:val="1"/>
      <w:color w:val="404040" w:themeColor="text1" w:themeTint="0000BF"/>
      <w:sz w:val="20"/>
      <w:szCs w:val="20"/>
    </w:rPr>
  </w:style>
  <w:style w:type="paragraph" w:styleId="Descripcin">
    <w:name w:val="caption"/>
    <w:basedOn w:val="Normal"/>
    <w:next w:val="Normal"/>
    <w:uiPriority w:val="35"/>
    <w:semiHidden w:val="1"/>
    <w:unhideWhenUsed w:val="1"/>
    <w:qFormat w:val="1"/>
    <w:rsid w:val="00FC693F"/>
    <w:pPr>
      <w:spacing w:line="240" w:lineRule="auto"/>
    </w:pPr>
    <w:rPr>
      <w:b w:val="1"/>
      <w:bCs w:val="1"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 w:val="1"/>
    <w:rsid w:val="00FC693F"/>
    <w:rPr>
      <w:b w:val="1"/>
      <w:bCs w:val="1"/>
    </w:rPr>
  </w:style>
  <w:style w:type="character" w:styleId="nfasis">
    <w:name w:val="Emphasis"/>
    <w:basedOn w:val="Fuentedeprrafopredeter"/>
    <w:uiPriority w:val="20"/>
    <w:qFormat w:val="1"/>
    <w:rsid w:val="00FC693F"/>
    <w:rPr>
      <w:i w:val="1"/>
      <w:iCs w:val="1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 w:val="1"/>
      <w:bCs w:val="1"/>
      <w:i w:val="1"/>
      <w:iCs w:val="1"/>
      <w:color w:val="4f81bd" w:themeColor="accent1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FC693F"/>
    <w:rPr>
      <w:b w:val="1"/>
      <w:bCs w:val="1"/>
      <w:i w:val="1"/>
      <w:iCs w:val="1"/>
      <w:color w:val="4f81bd" w:themeColor="accent1"/>
    </w:rPr>
  </w:style>
  <w:style w:type="character" w:styleId="nfasissutil">
    <w:name w:val="Subtle Emphasis"/>
    <w:basedOn w:val="Fuentedeprrafopredeter"/>
    <w:uiPriority w:val="19"/>
    <w:qFormat w:val="1"/>
    <w:rsid w:val="00FC693F"/>
    <w:rPr>
      <w:i w:val="1"/>
      <w:iCs w:val="1"/>
      <w:color w:val="808080" w:themeColor="text1" w:themeTint="00007F"/>
    </w:rPr>
  </w:style>
  <w:style w:type="character" w:styleId="nfasisintenso">
    <w:name w:val="Intense Emphasis"/>
    <w:basedOn w:val="Fuentedeprrafopredeter"/>
    <w:uiPriority w:val="21"/>
    <w:qFormat w:val="1"/>
    <w:rsid w:val="00FC693F"/>
    <w:rPr>
      <w:b w:val="1"/>
      <w:bCs w:val="1"/>
      <w:i w:val="1"/>
      <w:iCs w:val="1"/>
      <w:color w:val="4f81bd" w:themeColor="accent1"/>
    </w:rPr>
  </w:style>
  <w:style w:type="character" w:styleId="Referenciasutil">
    <w:name w:val="Subtle Reference"/>
    <w:basedOn w:val="Fuentedeprrafopredeter"/>
    <w:uiPriority w:val="31"/>
    <w:qFormat w:val="1"/>
    <w:rsid w:val="00FC693F"/>
    <w:rPr>
      <w:smallCaps w:val="1"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 w:val="1"/>
    <w:rsid w:val="00FC693F"/>
    <w:rPr>
      <w:b w:val="1"/>
      <w:bCs w:val="1"/>
      <w:smallCaps w:val="1"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 w:val="1"/>
    <w:rsid w:val="00FC693F"/>
    <w:rPr>
      <w:b w:val="1"/>
      <w:bCs w:val="1"/>
      <w:smallCaps w:val="1"/>
      <w:spacing w:val="5"/>
    </w:rPr>
  </w:style>
  <w:style w:type="paragraph" w:styleId="TtulodeTDC">
    <w:name w:val="TOC Heading"/>
    <w:basedOn w:val="Ttulo1"/>
    <w:next w:val="Normal"/>
    <w:uiPriority w:val="39"/>
    <w:semiHidden w:val="1"/>
    <w:unhideWhenUsed w:val="1"/>
    <w:qFormat w:val="1"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0000BF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themeColor="accent1" w:val="single"/>
          <w:left w:space="0" w:sz="0" w:val="nil"/>
          <w:bottom w:color="4f81bd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0000BF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8" w:themeColor="accent2" w:val="single"/>
          <w:left w:space="0" w:sz="0" w:val="nil"/>
          <w:bottom w:color="c0504d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0000BF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8" w:themeColor="accent3" w:val="single"/>
          <w:left w:space="0" w:sz="0" w:val="nil"/>
          <w:bottom w:color="9bbb5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0000BF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8" w:themeColor="accent4" w:val="single"/>
          <w:left w:space="0" w:sz="0" w:val="nil"/>
          <w:bottom w:color="8064a2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0000BF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themeColor="accent5" w:val="single"/>
          <w:left w:space="0" w:sz="0" w:val="nil"/>
          <w:bottom w:color="4bacc6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0000BF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8" w:themeColor="accent6" w:val="single"/>
          <w:left w:space="0" w:sz="0" w:val="nil"/>
          <w:bottom w:color="f79646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space="0" w:sz="0"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0000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space="0" w:sz="0"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0000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space="0" w:sz="0"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0000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space="0" w:sz="0"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0000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space="0" w:sz="0"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0000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space="0" w:sz="0"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0000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ba0cd" w:space="0" w:sz="8" w:themeColor="accent1" w:themeTint="0000BF" w:val="sing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ba0cd" w:space="0" w:sz="6" w:themeColor="accent1" w:themeTint="0000BF" w:val="double"/>
          <w:left w:color="7ba0cd" w:space="0" w:sz="8" w:themeColor="accent1" w:themeTint="0000BF" w:val="single"/>
          <w:bottom w:color="7ba0cd" w:space="0" w:sz="8" w:themeColor="accent1" w:themeTint="0000BF" w:val="single"/>
          <w:right w:color="7ba0cd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cf7b79" w:space="0" w:sz="8" w:themeColor="accent2" w:themeTint="0000BF" w:val="sing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f7b79" w:space="0" w:sz="6" w:themeColor="accent2" w:themeTint="0000BF" w:val="double"/>
          <w:left w:color="cf7b79" w:space="0" w:sz="8" w:themeColor="accent2" w:themeTint="0000BF" w:val="single"/>
          <w:bottom w:color="cf7b79" w:space="0" w:sz="8" w:themeColor="accent2" w:themeTint="0000BF" w:val="single"/>
          <w:right w:color="cf7b79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3cc82" w:space="0" w:sz="8" w:themeColor="accent3" w:themeTint="0000BF" w:val="sing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3cc82" w:space="0" w:sz="6" w:themeColor="accent3" w:themeTint="0000BF" w:val="double"/>
          <w:left w:color="b3cc82" w:space="0" w:sz="8" w:themeColor="accent3" w:themeTint="0000BF" w:val="single"/>
          <w:bottom w:color="b3cc82" w:space="0" w:sz="8" w:themeColor="accent3" w:themeTint="0000BF" w:val="single"/>
          <w:right w:color="b3cc82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9f8ab9" w:space="0" w:sz="8" w:themeColor="accent4" w:themeTint="0000BF" w:val="sing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f8ab9" w:space="0" w:sz="6" w:themeColor="accent4" w:themeTint="0000BF" w:val="double"/>
          <w:left w:color="9f8ab9" w:space="0" w:sz="8" w:themeColor="accent4" w:themeTint="0000BF" w:val="single"/>
          <w:bottom w:color="9f8ab9" w:space="0" w:sz="8" w:themeColor="accent4" w:themeTint="0000BF" w:val="single"/>
          <w:right w:color="9f8ab9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78c0d4" w:space="0" w:sz="8" w:themeColor="accent5" w:themeTint="0000BF" w:val="sing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78c0d4" w:space="0" w:sz="6" w:themeColor="accent5" w:themeTint="0000BF" w:val="double"/>
          <w:left w:color="78c0d4" w:space="0" w:sz="8" w:themeColor="accent5" w:themeTint="0000BF" w:val="single"/>
          <w:bottom w:color="78c0d4" w:space="0" w:sz="8" w:themeColor="accent5" w:themeTint="0000BF" w:val="single"/>
          <w:right w:color="78c0d4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9b074" w:space="0" w:sz="8" w:themeColor="accent6" w:themeTint="0000BF" w:val="sing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b074" w:space="0" w:sz="6" w:themeColor="accent6" w:themeTint="0000BF" w:val="double"/>
          <w:left w:color="f9b074" w:space="0" w:sz="8" w:themeColor="accent6" w:themeTint="0000BF" w:val="single"/>
          <w:bottom w:color="f9b074" w:space="0" w:sz="8" w:themeColor="accent6" w:themeTint="0000BF" w:val="single"/>
          <w:right w:color="f9b074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bottom w:color="4f81bd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f81bd" w:space="0" w:sz="8" w:themeColor="accent1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00003F" w:val="clear"/>
      </w:tcPr>
    </w:tblStylePr>
    <w:tblStylePr w:type="band1Horz">
      <w:tblPr/>
      <w:tcPr>
        <w:shd w:color="auto" w:fill="d3dfee" w:themeFill="accent1" w:themeFillTint="00003F" w:val="clear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bottom w:color="c0504d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0504d" w:space="0" w:sz="8" w:themeColor="accent2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00003F" w:val="clear"/>
      </w:tcPr>
    </w:tblStylePr>
    <w:tblStylePr w:type="band1Horz">
      <w:tblPr/>
      <w:tcPr>
        <w:shd w:color="auto" w:fill="efd3d2" w:themeFill="accent2" w:themeFillTint="00003F" w:val="clear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bottom w:color="9bbb5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bbb59" w:space="0" w:sz="8" w:themeColor="accent3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00003F" w:val="clear"/>
      </w:tcPr>
    </w:tblStylePr>
    <w:tblStylePr w:type="band1Horz">
      <w:tblPr/>
      <w:tcPr>
        <w:shd w:color="auto" w:fill="e6eed5" w:themeFill="accent3" w:themeFillTint="00003F" w:val="clear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bottom w:color="8064a2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064a2" w:space="0" w:sz="8" w:themeColor="accent4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00003F" w:val="clear"/>
      </w:tcPr>
    </w:tblStylePr>
    <w:tblStylePr w:type="band1Horz">
      <w:tblPr/>
      <w:tcPr>
        <w:shd w:color="auto" w:fill="dfd8e8" w:themeFill="accent4" w:themeFillTint="00003F" w:val="clear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bottom w:color="4bacc6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4bacc6" w:space="0" w:sz="8" w:themeColor="accent5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00003F" w:val="clear"/>
      </w:tcPr>
    </w:tblStylePr>
    <w:tblStylePr w:type="band1Horz">
      <w:tblPr/>
      <w:tcPr>
        <w:shd w:color="auto" w:fill="d2eaf1" w:themeFill="accent5" w:themeFillTint="00003F" w:val="clear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bottom w:color="f79646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79646" w:space="0" w:sz="8" w:themeColor="accent6" w:val="single"/>
        </w:tcBorders>
      </w:tcPr>
    </w:tblStylePr>
    <w:tblStylePr w:type="lastRow">
      <w:rPr>
        <w:b w:val="1"/>
        <w:bCs w:val="1"/>
        <w:color w:val="1f497d" w:themeColor="text2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00003F" w:val="clear"/>
      </w:tcPr>
    </w:tblStylePr>
    <w:tblStylePr w:type="band1Horz">
      <w:tblPr/>
      <w:tcPr>
        <w:shd w:color="auto" w:fill="fde4d0" w:themeFill="accent6" w:themeFillTint="00003F" w:val="clear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f81bd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f81bd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f81bd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0504d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0504d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bbb5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bbb5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064a2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064a2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4bacc6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4bacc6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79646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79646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ba0cd" w:space="0" w:sz="8" w:themeColor="accent1" w:themeTint="0000BF" w:val="single"/>
        <w:left w:color="7ba0cd" w:space="0" w:sz="8" w:themeColor="accent1" w:themeTint="0000BF" w:val="single"/>
        <w:bottom w:color="7ba0cd" w:space="0" w:sz="8" w:themeColor="accent1" w:themeTint="0000BF" w:val="single"/>
        <w:right w:color="7ba0cd" w:space="0" w:sz="8" w:themeColor="accent1" w:themeTint="0000BF" w:val="single"/>
        <w:insideH w:color="7ba0cd" w:space="0" w:sz="8" w:themeColor="accent1" w:themeTint="0000BF" w:val="single"/>
        <w:insideV w:color="7ba0cd" w:space="0" w:sz="8" w:themeColor="accent1" w:themeTint="0000BF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ba0cd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cf7b79" w:space="0" w:sz="8" w:themeColor="accent2" w:themeTint="0000BF" w:val="single"/>
        <w:left w:color="cf7b79" w:space="0" w:sz="8" w:themeColor="accent2" w:themeTint="0000BF" w:val="single"/>
        <w:bottom w:color="cf7b79" w:space="0" w:sz="8" w:themeColor="accent2" w:themeTint="0000BF" w:val="single"/>
        <w:right w:color="cf7b79" w:space="0" w:sz="8" w:themeColor="accent2" w:themeTint="0000BF" w:val="single"/>
        <w:insideH w:color="cf7b79" w:space="0" w:sz="8" w:themeColor="accent2" w:themeTint="0000BF" w:val="single"/>
        <w:insideV w:color="cf7b79" w:space="0" w:sz="8" w:themeColor="accent2" w:themeTint="0000BF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cf7b79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b3cc82" w:space="0" w:sz="8" w:themeColor="accent3" w:themeTint="0000BF" w:val="single"/>
        <w:left w:color="b3cc82" w:space="0" w:sz="8" w:themeColor="accent3" w:themeTint="0000BF" w:val="single"/>
        <w:bottom w:color="b3cc82" w:space="0" w:sz="8" w:themeColor="accent3" w:themeTint="0000BF" w:val="single"/>
        <w:right w:color="b3cc82" w:space="0" w:sz="8" w:themeColor="accent3" w:themeTint="0000BF" w:val="single"/>
        <w:insideH w:color="b3cc82" w:space="0" w:sz="8" w:themeColor="accent3" w:themeTint="0000BF" w:val="single"/>
        <w:insideV w:color="b3cc82" w:space="0" w:sz="8" w:themeColor="accent3" w:themeTint="0000BF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3cc82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9f8ab9" w:space="0" w:sz="8" w:themeColor="accent4" w:themeTint="0000BF" w:val="single"/>
        <w:left w:color="9f8ab9" w:space="0" w:sz="8" w:themeColor="accent4" w:themeTint="0000BF" w:val="single"/>
        <w:bottom w:color="9f8ab9" w:space="0" w:sz="8" w:themeColor="accent4" w:themeTint="0000BF" w:val="single"/>
        <w:right w:color="9f8ab9" w:space="0" w:sz="8" w:themeColor="accent4" w:themeTint="0000BF" w:val="single"/>
        <w:insideH w:color="9f8ab9" w:space="0" w:sz="8" w:themeColor="accent4" w:themeTint="0000BF" w:val="single"/>
        <w:insideV w:color="9f8ab9" w:space="0" w:sz="8" w:themeColor="accent4" w:themeTint="0000BF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9f8ab9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78c0d4" w:space="0" w:sz="8" w:themeColor="accent5" w:themeTint="0000BF" w:val="single"/>
        <w:left w:color="78c0d4" w:space="0" w:sz="8" w:themeColor="accent5" w:themeTint="0000BF" w:val="single"/>
        <w:bottom w:color="78c0d4" w:space="0" w:sz="8" w:themeColor="accent5" w:themeTint="0000BF" w:val="single"/>
        <w:right w:color="78c0d4" w:space="0" w:sz="8" w:themeColor="accent5" w:themeTint="0000BF" w:val="single"/>
        <w:insideH w:color="78c0d4" w:space="0" w:sz="8" w:themeColor="accent5" w:themeTint="0000BF" w:val="single"/>
        <w:insideV w:color="78c0d4" w:space="0" w:sz="8" w:themeColor="accent5" w:themeTint="0000BF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78c0d4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color="f9b074" w:space="0" w:sz="8" w:themeColor="accent6" w:themeTint="0000BF" w:val="single"/>
        <w:left w:color="f9b074" w:space="0" w:sz="8" w:themeColor="accent6" w:themeTint="0000BF" w:val="single"/>
        <w:bottom w:color="f9b074" w:space="0" w:sz="8" w:themeColor="accent6" w:themeTint="0000BF" w:val="single"/>
        <w:right w:color="f9b074" w:space="0" w:sz="8" w:themeColor="accent6" w:themeTint="0000BF" w:val="single"/>
        <w:insideH w:color="f9b074" w:space="0" w:sz="8" w:themeColor="accent6" w:themeTint="0000BF" w:val="single"/>
        <w:insideV w:color="f9b074" w:space="0" w:sz="8" w:themeColor="accent6" w:themeTint="0000BF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9b074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2f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be5f1" w:themeFill="accent1" w:themeFillTint="000033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8eded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2dbdb" w:themeFill="accent2" w:themeFillTint="000033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5f8ee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f1dd" w:themeFill="accent3" w:themeFillTint="000033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2eff6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dfec" w:themeFill="accent4" w:themeFillTint="000033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df6f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aeef3" w:themeFill="accent5" w:themeFillTint="000033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4ec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9d9" w:themeFill="accent6" w:themeFillTint="000033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3dfee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7bfde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00007F" w:val="clear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fd3d2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dfa7a6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00007F" w:val="clear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6eed5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dddac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00007F" w:val="clear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fd8e8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bfb1d0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00007F" w:val="clear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d2eaf1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a5d5e2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00007F" w:val="clear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4d0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bcaa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00007F" w:val="clear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f81bd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43f60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65f91" w:themeFill="accent1" w:themeFillShade="0000BF" w:val="clear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0504d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22423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3634" w:themeFill="accent2" w:themeFillShade="0000BF" w:val="clear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bbb5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e6128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6923c" w:themeFill="accent3" w:themeFillShade="0000BF" w:val="clear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064a2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f3151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f497a" w:themeFill="accent4" w:themeFillShade="0000BF" w:val="clear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4bacc6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05867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31849b" w:themeFill="accent5" w:themeFillShade="0000BF" w:val="clear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79646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74706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6c0a" w:themeFill="accent6" w:themeFillShade="0000BF" w:val="clear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2f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c4c74" w:space="0" w:sz="4" w:themeColor="accent1" w:themeShade="000099" w:val="single"/>
          <w:insideV w:space="0" w:sz="0" w:val="nil"/>
        </w:tcBorders>
        <w:shd w:color="auto" w:fill="2c4c7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c4c74" w:themeFill="accent1" w:themeFillShade="000099" w:val="clear"/>
      </w:tcPr>
    </w:tblStylePr>
    <w:tblStylePr w:type="band1Vert">
      <w:tblPr/>
      <w:tcPr>
        <w:shd w:color="auto" w:fill="b8cce4" w:themeFill="accent1" w:themeFillTint="000066" w:val="clear"/>
      </w:tcPr>
    </w:tblStylePr>
    <w:tblStylePr w:type="band1Horz">
      <w:tblPr/>
      <w:tcPr>
        <w:shd w:color="auto" w:fill="a7bfde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8eded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0504d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72c2a" w:space="0" w:sz="4" w:themeColor="accent2" w:themeShade="000099" w:val="single"/>
          <w:insideV w:space="0" w:sz="0" w:val="nil"/>
        </w:tcBorders>
        <w:shd w:color="auto" w:fill="772c2a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72c2a" w:themeFill="accent2" w:themeFillShade="000099" w:val="clear"/>
      </w:tcPr>
    </w:tblStylePr>
    <w:tblStylePr w:type="band1Vert">
      <w:tblPr/>
      <w:tcPr>
        <w:shd w:color="auto" w:fill="e5b8b7" w:themeFill="accent2" w:themeFillTint="000066" w:val="clear"/>
      </w:tcPr>
    </w:tblStylePr>
    <w:tblStylePr w:type="band1Horz">
      <w:tblPr/>
      <w:tcPr>
        <w:shd w:color="auto" w:fill="dfa7a6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5f8ee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064a2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e7530" w:space="0" w:sz="4" w:themeColor="accent3" w:themeShade="000099" w:val="single"/>
          <w:insideV w:space="0" w:sz="0" w:val="nil"/>
        </w:tcBorders>
        <w:shd w:color="auto" w:fill="5e7530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e7530" w:themeFill="accent3" w:themeFillShade="000099" w:val="clear"/>
      </w:tcPr>
    </w:tblStylePr>
    <w:tblStylePr w:type="band1Vert">
      <w:tblPr/>
      <w:tcPr>
        <w:shd w:color="auto" w:fill="d6e3bc" w:themeFill="accent3" w:themeFillTint="000066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2eff6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bbb5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4c3b62" w:space="0" w:sz="4" w:themeColor="accent4" w:themeShade="000099" w:val="single"/>
          <w:insideV w:space="0" w:sz="0" w:val="nil"/>
        </w:tcBorders>
        <w:shd w:color="auto" w:fill="4c3b62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c3b62" w:themeFill="accent4" w:themeFillShade="000099" w:val="clear"/>
      </w:tcPr>
    </w:tblStylePr>
    <w:tblStylePr w:type="band1Vert">
      <w:tblPr/>
      <w:tcPr>
        <w:shd w:color="auto" w:fill="ccc0d9" w:themeFill="accent4" w:themeFillTint="000066" w:val="clear"/>
      </w:tcPr>
    </w:tblStylePr>
    <w:tblStylePr w:type="band1Horz">
      <w:tblPr/>
      <w:tcPr>
        <w:shd w:color="auto" w:fill="bfb1d0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df6f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79646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276a7c" w:space="0" w:sz="4" w:themeColor="accent5" w:themeShade="000099" w:val="single"/>
          <w:insideV w:space="0" w:sz="0" w:val="nil"/>
        </w:tcBorders>
        <w:shd w:color="auto" w:fill="276a7c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276a7c" w:themeFill="accent5" w:themeFillShade="000099" w:val="clear"/>
      </w:tcPr>
    </w:tblStylePr>
    <w:tblStylePr w:type="band1Vert">
      <w:tblPr/>
      <w:tcPr>
        <w:shd w:color="auto" w:fill="b6dde8" w:themeFill="accent5" w:themeFillTint="000066" w:val="clear"/>
      </w:tcPr>
    </w:tblStylePr>
    <w:tblStylePr w:type="band1Horz">
      <w:tblPr/>
      <w:tcPr>
        <w:shd w:color="auto" w:fill="a5d5e2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4ec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4bacc6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65608" w:space="0" w:sz="4" w:themeColor="accent6" w:themeShade="000099" w:val="single"/>
          <w:insideV w:space="0" w:sz="0" w:val="nil"/>
        </w:tcBorders>
        <w:shd w:color="auto" w:fill="b65608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65608" w:themeFill="accent6" w:themeFillShade="000099" w:val="clear"/>
      </w:tcPr>
    </w:tblStylePr>
    <w:tblStylePr w:type="band1Vert">
      <w:tblPr/>
      <w:tcPr>
        <w:shd w:color="auto" w:fill="fbd4b4" w:themeFill="accent6" w:themeFillTint="000066" w:val="clear"/>
      </w:tcPr>
    </w:tblStylePr>
    <w:tblStylePr w:type="band1Horz">
      <w:tblPr/>
      <w:tcPr>
        <w:shd w:color="auto" w:fill="fbcaa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2f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3dfee" w:themeFill="accent1" w:themeFillTint="00003F" w:val="clear"/>
      </w:tcPr>
    </w:tblStylePr>
    <w:tblStylePr w:type="band1Horz">
      <w:tblPr/>
      <w:tcPr>
        <w:shd w:color="auto" w:fill="dbe5f1" w:themeFill="accent1" w:themeFillTint="000033" w:val="clear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8eded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0000CC" w:val="clear"/>
      </w:tcPr>
    </w:tblStylePr>
    <w:tblStylePr w:type="lastRow">
      <w:rPr>
        <w:b w:val="1"/>
        <w:bCs w:val="1"/>
        <w:color w:val="9e3a38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fd3d2" w:themeFill="accent2" w:themeFillTint="00003F" w:val="clear"/>
      </w:tcPr>
    </w:tblStylePr>
    <w:tblStylePr w:type="band1Horz">
      <w:tblPr/>
      <w:tcPr>
        <w:shd w:color="auto" w:fill="f2dbdb" w:themeFill="accent2" w:themeFillTint="000033" w:val="clear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5f8ee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0000CC" w:val="clear"/>
      </w:tcPr>
    </w:tblStylePr>
    <w:tblStylePr w:type="lastRow">
      <w:rPr>
        <w:b w:val="1"/>
        <w:bCs w:val="1"/>
        <w:color w:val="664e82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6eed5" w:themeFill="accent3" w:themeFillTint="00003F" w:val="clear"/>
      </w:tcPr>
    </w:tblStylePr>
    <w:tblStylePr w:type="band1Horz">
      <w:tblPr/>
      <w:tcPr>
        <w:shd w:color="auto" w:fill="eaf1dd" w:themeFill="accent3" w:themeFillTint="000033" w:val="clear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2eff6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0000CC" w:val="clear"/>
      </w:tcPr>
    </w:tblStylePr>
    <w:tblStylePr w:type="lastRow">
      <w:rPr>
        <w:b w:val="1"/>
        <w:bCs w:val="1"/>
        <w:color w:val="7e9c40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fd8e8" w:themeFill="accent4" w:themeFillTint="00003F" w:val="clear"/>
      </w:tcPr>
    </w:tblStylePr>
    <w:tblStylePr w:type="band1Horz">
      <w:tblPr/>
      <w:tcPr>
        <w:shd w:color="auto" w:fill="e5dfec" w:themeFill="accent4" w:themeFillTint="000033" w:val="clear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df6f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0000CC" w:val="clear"/>
      </w:tcPr>
    </w:tblStylePr>
    <w:tblStylePr w:type="lastRow">
      <w:rPr>
        <w:b w:val="1"/>
        <w:bCs w:val="1"/>
        <w:color w:val="f2730a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2eaf1" w:themeFill="accent5" w:themeFillTint="00003F" w:val="clear"/>
      </w:tcPr>
    </w:tblStylePr>
    <w:tblStylePr w:type="band1Horz">
      <w:tblPr/>
      <w:tcPr>
        <w:shd w:color="auto" w:fill="daeef3" w:themeFill="accent5" w:themeFillTint="000033" w:val="clear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4ec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0000CC" w:val="clear"/>
      </w:tcPr>
    </w:tblStylePr>
    <w:tblStylePr w:type="lastRow">
      <w:rPr>
        <w:b w:val="1"/>
        <w:bCs w:val="1"/>
        <w:color w:val="348da5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4d0" w:themeFill="accent6" w:themeFillTint="00003F" w:val="clear"/>
      </w:tcPr>
    </w:tblStylePr>
    <w:tblStylePr w:type="band1Horz">
      <w:tblPr/>
      <w:tcPr>
        <w:shd w:color="auto" w:fill="fde9d9" w:themeFill="accent6" w:themeFillTint="000033" w:val="clear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be5f1" w:themeFill="accent1" w:themeFillTint="000033" w:val="clear"/>
    </w:tcPr>
    <w:tblStylePr w:type="firstRow">
      <w:rPr>
        <w:b w:val="1"/>
        <w:bCs w:val="1"/>
      </w:rPr>
      <w:tblPr/>
      <w:tcPr>
        <w:shd w:color="auto" w:fill="b8cce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8cce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365f91" w:themeFill="accent1" w:themeFillShade="0000BF" w:val="clear"/>
      </w:tcPr>
    </w:tblStylePr>
    <w:tblStylePr w:type="band1Vert">
      <w:tblPr/>
      <w:tcPr>
        <w:shd w:color="auto" w:fill="a7bfde" w:themeFill="accent1" w:themeFillTint="00007F" w:val="clear"/>
      </w:tcPr>
    </w:tblStylePr>
    <w:tblStylePr w:type="band1Horz">
      <w:tblPr/>
      <w:tcPr>
        <w:shd w:color="auto" w:fill="a7bfde" w:themeFill="accent1" w:themeFillTint="00007F" w:val="clear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2dbdb" w:themeFill="accent2" w:themeFillTint="000033" w:val="clear"/>
    </w:tcPr>
    <w:tblStylePr w:type="firstRow">
      <w:rPr>
        <w:b w:val="1"/>
        <w:bCs w:val="1"/>
      </w:rPr>
      <w:tblPr/>
      <w:tcPr>
        <w:shd w:color="auto" w:fill="e5b8b7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e5b8b7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943634" w:themeFill="accent2" w:themeFillShade="0000BF" w:val="clear"/>
      </w:tcPr>
    </w:tblStylePr>
    <w:tblStylePr w:type="band1Vert">
      <w:tblPr/>
      <w:tcPr>
        <w:shd w:color="auto" w:fill="dfa7a6" w:themeFill="accent2" w:themeFillTint="00007F" w:val="clear"/>
      </w:tcPr>
    </w:tblStylePr>
    <w:tblStylePr w:type="band1Horz">
      <w:tblPr/>
      <w:tcPr>
        <w:shd w:color="auto" w:fill="dfa7a6" w:themeFill="accent2" w:themeFillTint="00007F" w:val="clear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f1dd" w:themeFill="accent3" w:themeFillTint="000033" w:val="clear"/>
    </w:tcPr>
    <w:tblStylePr w:type="firstRow">
      <w:rPr>
        <w:b w:val="1"/>
        <w:bCs w:val="1"/>
      </w:rPr>
      <w:tblPr/>
      <w:tcPr>
        <w:shd w:color="auto" w:fill="d6e3bc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e3bc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76923c" w:themeFill="accent3" w:themeFillShade="0000BF" w:val="clear"/>
      </w:tcPr>
    </w:tblStylePr>
    <w:tblStylePr w:type="band1Vert">
      <w:tblPr/>
      <w:tcPr>
        <w:shd w:color="auto" w:fill="cdddac" w:themeFill="accent3" w:themeFillTint="00007F" w:val="clear"/>
      </w:tcPr>
    </w:tblStylePr>
    <w:tblStylePr w:type="band1Horz">
      <w:tblPr/>
      <w:tcPr>
        <w:shd w:color="auto" w:fill="cdddac" w:themeFill="accent3" w:themeFillTint="00007F" w:val="clear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5dfec" w:themeFill="accent4" w:themeFillTint="000033" w:val="clear"/>
    </w:tcPr>
    <w:tblStylePr w:type="firstRow">
      <w:rPr>
        <w:b w:val="1"/>
        <w:bCs w:val="1"/>
      </w:rPr>
      <w:tblPr/>
      <w:tcPr>
        <w:shd w:color="auto" w:fill="ccc0d9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ccc0d9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5f497a" w:themeFill="accent4" w:themeFillShade="0000BF" w:val="clear"/>
      </w:tcPr>
    </w:tblStylePr>
    <w:tblStylePr w:type="band1Vert">
      <w:tblPr/>
      <w:tcPr>
        <w:shd w:color="auto" w:fill="bfb1d0" w:themeFill="accent4" w:themeFillTint="00007F" w:val="clear"/>
      </w:tcPr>
    </w:tblStylePr>
    <w:tblStylePr w:type="band1Horz">
      <w:tblPr/>
      <w:tcPr>
        <w:shd w:color="auto" w:fill="bfb1d0" w:themeFill="accent4" w:themeFillTint="00007F" w:val="clear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daeef3" w:themeFill="accent5" w:themeFillTint="000033" w:val="clear"/>
    </w:tcPr>
    <w:tblStylePr w:type="firstRow">
      <w:rPr>
        <w:b w:val="1"/>
        <w:bCs w:val="1"/>
      </w:rPr>
      <w:tblPr/>
      <w:tcPr>
        <w:shd w:color="auto" w:fill="b6dde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b6dde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31849b" w:themeFill="accent5" w:themeFillShade="0000BF" w:val="clear"/>
      </w:tcPr>
    </w:tblStylePr>
    <w:tblStylePr w:type="band1Vert">
      <w:tblPr/>
      <w:tcPr>
        <w:shd w:color="auto" w:fill="a5d5e2" w:themeFill="accent5" w:themeFillTint="00007F" w:val="clear"/>
      </w:tcPr>
    </w:tblStylePr>
    <w:tblStylePr w:type="band1Horz">
      <w:tblPr/>
      <w:tcPr>
        <w:shd w:color="auto" w:fill="a5d5e2" w:themeFill="accent5" w:themeFillTint="00007F" w:val="clear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9d9" w:themeFill="accent6" w:themeFillTint="000033" w:val="clear"/>
    </w:tcPr>
    <w:tblStylePr w:type="firstRow">
      <w:rPr>
        <w:b w:val="1"/>
        <w:bCs w:val="1"/>
      </w:rPr>
      <w:tblPr/>
      <w:tcPr>
        <w:shd w:color="auto" w:fill="fbd4b4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bd4b4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e36c0a" w:themeFill="accent6" w:themeFillShade="0000BF" w:val="clear"/>
      </w:tcPr>
    </w:tblStylePr>
    <w:tblStylePr w:type="band1Vert">
      <w:tblPr/>
      <w:tcPr>
        <w:shd w:color="auto" w:fill="fbcaa2" w:themeFill="accent6" w:themeFillTint="00007F" w:val="clear"/>
      </w:tcPr>
    </w:tblStylePr>
    <w:tblStylePr w:type="band1Horz">
      <w:tblPr/>
      <w:tcPr>
        <w:shd w:color="auto" w:fill="fbcaa2" w:themeFill="accent6" w:themeFillTint="00007F" w:val="clear"/>
      </w:tcPr>
    </w:tblStylePr>
  </w:style>
  <w:style w:type="character" w:styleId="Hipervnculo">
    <w:name w:val="Hyperlink"/>
    <w:basedOn w:val="Fuentedeprrafopredeter"/>
    <w:uiPriority w:val="99"/>
    <w:unhideWhenUsed w:val="1"/>
    <w:rsid w:val="000E3874"/>
    <w:rPr>
      <w:color w:val="0000ff" w:themeColor="hyperlink"/>
      <w:u w:val="singl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eWMc7skqKm4pwjDDuJZdbPVRg==">CgMxLjAyDmgudHJicWY2OTV5dGZiMg5oLnRyN2c4cXBuYmJtejIOaC5jcDdheTZnYzJobHgyDWguZWJ5N2Y3dWJrcXcyDmgueG84azg0ZXNsZXFmMg5oLm1mZmJ4c3I4Mm9ybDIOaC40aTMwMW56YzdqMzM4AHIhMUFCUWQ2R3dxRG5VajI1Y1FJWENja2pNNnFLNGpsWk9U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2025-09-01T11:14:00Z</dcterms:created>
  <dc:creator>python-docx</dc:creator>
</cp:coreProperties>
</file>